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Дело № 2-</w:t>
      </w:r>
      <w:r>
        <w:rPr>
          <w:rFonts w:ascii="Times New Roman" w:eastAsia="Times New Roman" w:hAnsi="Times New Roman" w:cs="Times New Roman"/>
          <w:sz w:val="26"/>
          <w:szCs w:val="26"/>
        </w:rPr>
        <w:t>585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ЗАОЧНОЕ </w:t>
      </w: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07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й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при секретаре 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Солодовниковой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Л.Н</w:t>
      </w:r>
      <w:r>
        <w:rPr>
          <w:rFonts w:ascii="Times New Roman" w:eastAsia="Times New Roman" w:hAnsi="Times New Roman" w:cs="Times New Roman"/>
          <w:sz w:val="27"/>
          <w:szCs w:val="27"/>
        </w:rPr>
        <w:t>., рассмотрев в открытом судебном заседании гражданское дело по исковому заявлению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ООО ПКО «АРТЕ ГРУПП» к </w:t>
      </w:r>
      <w:r>
        <w:rPr>
          <w:rFonts w:ascii="Times New Roman" w:eastAsia="Times New Roman" w:hAnsi="Times New Roman" w:cs="Times New Roman"/>
          <w:sz w:val="27"/>
          <w:szCs w:val="27"/>
        </w:rPr>
        <w:t>Зороглян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Саркису </w:t>
      </w:r>
      <w:r>
        <w:rPr>
          <w:rFonts w:ascii="Times New Roman" w:eastAsia="Times New Roman" w:hAnsi="Times New Roman" w:cs="Times New Roman"/>
          <w:sz w:val="27"/>
          <w:szCs w:val="27"/>
        </w:rPr>
        <w:t>Рубеновичу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взыскании процентов за пользование чужими денежными средствами в соответствии со ст. 395 ГК РФ,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167,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194-199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233-235 Гражданского процессуального кодекса Российской Федерации,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сковое заявление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ООО ПКО «АРТЕ ГРУПП» – удовлетворить.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Зороглян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Саркиса </w:t>
      </w:r>
      <w:r>
        <w:rPr>
          <w:rFonts w:ascii="Times New Roman" w:eastAsia="Times New Roman" w:hAnsi="Times New Roman" w:cs="Times New Roman"/>
          <w:sz w:val="27"/>
          <w:szCs w:val="27"/>
        </w:rPr>
        <w:t>Рубеновича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1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пользу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ООО ПКО «АРТЕ ГРУПП» </w:t>
      </w:r>
      <w:r>
        <w:rPr>
          <w:rStyle w:val="cat-UserDefinedgrp-22rplc-1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проценты за пользование чужими денежными средствами за период с 25.06.2021 года по 11.08.2025 года в размере </w:t>
      </w:r>
      <w:r>
        <w:rPr>
          <w:rStyle w:val="cat-Sumgrp-12rplc-19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а также расходы по оплате юридических услуг в размере </w:t>
      </w:r>
      <w:r>
        <w:rPr>
          <w:rStyle w:val="cat-Sumgrp-13rplc-20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судебные расходы по уплате государственной пошлины в размере </w:t>
      </w:r>
      <w:r>
        <w:rPr>
          <w:rStyle w:val="cat-Sumgrp-14rplc-21"/>
          <w:rFonts w:ascii="Times New Roman" w:eastAsia="Times New Roman" w:hAnsi="Times New Roman" w:cs="Times New Roman"/>
          <w:sz w:val="27"/>
          <w:szCs w:val="27"/>
        </w:rPr>
        <w:t>сумма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Заочное решение суда может быть обжаловано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сентября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Л.Н. </w:t>
      </w:r>
      <w:r>
        <w:rPr>
          <w:rFonts w:ascii="Times New Roman" w:eastAsia="Times New Roman" w:hAnsi="Times New Roman" w:cs="Times New Roman"/>
          <w:sz w:val="20"/>
          <w:szCs w:val="20"/>
        </w:rPr>
        <w:t>Солодовникова</w:t>
      </w:r>
    </w:p>
    <w:p>
      <w:pPr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1rplc-9">
    <w:name w:val="cat-UserDefined grp-21 rplc-9"/>
    <w:basedOn w:val="DefaultParagraphFont"/>
  </w:style>
  <w:style w:type="character" w:customStyle="1" w:styleId="cat-UserDefinedgrp-22rplc-15">
    <w:name w:val="cat-UserDefined grp-22 rplc-15"/>
    <w:basedOn w:val="DefaultParagraphFont"/>
  </w:style>
  <w:style w:type="character" w:customStyle="1" w:styleId="cat-Sumgrp-12rplc-19">
    <w:name w:val="cat-Sum grp-12 rplc-19"/>
    <w:basedOn w:val="DefaultParagraphFont"/>
  </w:style>
  <w:style w:type="character" w:customStyle="1" w:styleId="cat-Sumgrp-13rplc-20">
    <w:name w:val="cat-Sum grp-13 rplc-20"/>
    <w:basedOn w:val="DefaultParagraphFont"/>
  </w:style>
  <w:style w:type="character" w:customStyle="1" w:styleId="cat-Sumgrp-14rplc-21">
    <w:name w:val="cat-Sum grp-14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